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0E13" w14:textId="4A9EA911" w:rsidR="005B0573" w:rsidRDefault="005B0573" w:rsidP="005B0573">
      <w:pPr>
        <w:spacing w:line="360" w:lineRule="auto"/>
        <w:jc w:val="both"/>
      </w:pPr>
      <w:r w:rsidRPr="005B0573">
        <w:t xml:space="preserve">Pratiwi A, </w:t>
      </w:r>
      <w:proofErr w:type="spellStart"/>
      <w:r w:rsidRPr="005B0573">
        <w:t>Pagarra</w:t>
      </w:r>
      <w:proofErr w:type="spellEnd"/>
      <w:r w:rsidRPr="005B0573">
        <w:t xml:space="preserve"> H, Amir S, </w:t>
      </w:r>
      <w:proofErr w:type="spellStart"/>
      <w:r w:rsidRPr="005B0573">
        <w:t>Jaury</w:t>
      </w:r>
      <w:proofErr w:type="spellEnd"/>
      <w:r w:rsidRPr="005B0573">
        <w:t xml:space="preserve"> JV, Sofyan S, Sisca S. Combination of triamcinolone/5FU with multiple Z-</w:t>
      </w:r>
      <w:proofErr w:type="spellStart"/>
      <w:r w:rsidRPr="005B0573">
        <w:t>plasty</w:t>
      </w:r>
      <w:proofErr w:type="spellEnd"/>
      <w:r w:rsidRPr="005B0573">
        <w:t xml:space="preserve">: A powerful duo to combat cicatricial ectropion. J Case Rep Images </w:t>
      </w:r>
      <w:proofErr w:type="spellStart"/>
      <w:r w:rsidRPr="005B0573">
        <w:t>Opthalmol</w:t>
      </w:r>
      <w:proofErr w:type="spellEnd"/>
      <w:r w:rsidRPr="005B0573">
        <w:t xml:space="preserve"> 2026;9(2):17–22.</w:t>
      </w:r>
    </w:p>
    <w:sectPr w:rsidR="005B05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73"/>
    <w:rsid w:val="0013709F"/>
    <w:rsid w:val="0015459F"/>
    <w:rsid w:val="001B6D82"/>
    <w:rsid w:val="001E419D"/>
    <w:rsid w:val="00321657"/>
    <w:rsid w:val="004F6E26"/>
    <w:rsid w:val="005B0573"/>
    <w:rsid w:val="00603117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F7DF6"/>
  <w15:chartTrackingRefBased/>
  <w15:docId w15:val="{D29020C3-CEF6-48D5-9269-64193634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5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5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5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5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5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5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5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5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5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5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5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2026-08-15T06:30:00Z</dcterms:created>
  <dcterms:modified xsi:type="dcterms:W3CDTF">2026-08-15T06:31:00Z</dcterms:modified>
</cp:coreProperties>
</file>